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C0264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  <w:r w:rsidRPr="002248F3">
        <w:rPr>
          <w:b/>
          <w:sz w:val="22"/>
        </w:rPr>
        <w:t>Polityka Jakości</w:t>
      </w:r>
      <w:r w:rsidRPr="002248F3">
        <w:rPr>
          <w:sz w:val="22"/>
        </w:rPr>
        <w:t xml:space="preserve"> formułuje postulaty stanowiące długookresowe cele jakościowe Urzędu Pracy m.st.</w:t>
      </w:r>
      <w:r>
        <w:rPr>
          <w:sz w:val="22"/>
        </w:rPr>
        <w:t> </w:t>
      </w:r>
      <w:r w:rsidRPr="002248F3">
        <w:rPr>
          <w:sz w:val="22"/>
        </w:rPr>
        <w:t>Warszawy. Nadzór nad realizacją tych celów sprawuje jego Dyrektor.</w:t>
      </w:r>
    </w:p>
    <w:p w14:paraId="4D34A1DA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 xml:space="preserve">Dla zapewnienia sprawnego kierowania działaniami Urzędu, Dyrektor sformułował Misję, określił Politykę Jakości oraz ustalił cele, które pozwolą lepiej spełniać oczekiwania Klientów. </w:t>
      </w:r>
    </w:p>
    <w:p w14:paraId="7731F4C5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</w:p>
    <w:p w14:paraId="52881BD5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  <w:r w:rsidRPr="002248F3">
        <w:rPr>
          <w:b/>
          <w:sz w:val="22"/>
        </w:rPr>
        <w:t>Misją</w:t>
      </w:r>
      <w:r w:rsidRPr="002248F3">
        <w:rPr>
          <w:sz w:val="22"/>
        </w:rPr>
        <w:t xml:space="preserve"> Urzędu Pracy m.st. Warszawy jest promocja zatrudnienia i aktywizacja zawodowa Klientów Urzędu oraz wspieranie pracodawców, w tym: </w:t>
      </w:r>
    </w:p>
    <w:p w14:paraId="4AA0945E" w14:textId="77777777" w:rsidR="002248F3" w:rsidRPr="002248F3" w:rsidRDefault="002248F3" w:rsidP="00CC445C">
      <w:pPr>
        <w:pStyle w:val="Akapitzlist"/>
        <w:numPr>
          <w:ilvl w:val="0"/>
          <w:numId w:val="5"/>
        </w:numPr>
        <w:spacing w:before="60" w:after="60" w:line="288" w:lineRule="auto"/>
        <w:ind w:left="357" w:hanging="357"/>
        <w:jc w:val="both"/>
        <w:rPr>
          <w:b/>
          <w:sz w:val="22"/>
        </w:rPr>
      </w:pPr>
      <w:r w:rsidRPr="002248F3">
        <w:rPr>
          <w:b/>
          <w:sz w:val="22"/>
        </w:rPr>
        <w:t xml:space="preserve">udzielanie pomocy bezrobotnym i poszukującym pracy w znalezieniu pracy, </w:t>
      </w:r>
    </w:p>
    <w:p w14:paraId="0D68B9C3" w14:textId="77777777" w:rsidR="002248F3" w:rsidRPr="002248F3" w:rsidRDefault="002248F3" w:rsidP="00CC445C">
      <w:pPr>
        <w:pStyle w:val="Akapitzlist"/>
        <w:numPr>
          <w:ilvl w:val="0"/>
          <w:numId w:val="5"/>
        </w:numPr>
        <w:spacing w:before="60" w:after="60" w:line="288" w:lineRule="auto"/>
        <w:ind w:left="357" w:hanging="357"/>
        <w:jc w:val="both"/>
        <w:rPr>
          <w:b/>
          <w:sz w:val="22"/>
        </w:rPr>
      </w:pPr>
      <w:r w:rsidRPr="002248F3">
        <w:rPr>
          <w:b/>
          <w:sz w:val="22"/>
        </w:rPr>
        <w:t>udzielanie pomocy pracodawcom w pozyskiwaniu odpowiednich pracowników.</w:t>
      </w:r>
    </w:p>
    <w:p w14:paraId="05AB18A1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</w:p>
    <w:p w14:paraId="0FDC811A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 xml:space="preserve">Realizacja Misji opiera się na uzyskaniu zadowolenia Klienta poprzez sprawną i terminową obsługę, dopasowanie oferty świadczonych usług do potrzeb Klientów oraz kształtowanie wizerunku instytucji niosącej pomoc, solidnej, życzliwej i otwartej dla Klienta. </w:t>
      </w:r>
    </w:p>
    <w:p w14:paraId="19518728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</w:p>
    <w:p w14:paraId="67BAD2A9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Swoją misję Urząd Pracy m. st. Warszawy realizuje poprzez stosowanie zasad Polityki Jakości zakładających:</w:t>
      </w:r>
    </w:p>
    <w:p w14:paraId="05308207" w14:textId="77777777" w:rsidR="002248F3" w:rsidRPr="002248F3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utrzymanie i ciągłą poprawę efektywności systemu zarządzania jakością,</w:t>
      </w:r>
    </w:p>
    <w:p w14:paraId="30F8F7D9" w14:textId="77777777" w:rsidR="002248F3" w:rsidRPr="002248F3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spełnianie wymagań określonych w dokumentach wewnętrznych i zewnętrznych,</w:t>
      </w:r>
    </w:p>
    <w:p w14:paraId="5A49073D" w14:textId="77777777" w:rsidR="002248F3" w:rsidRPr="002248F3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kompetentne załatwianie spraw wpływających do Urzędu w trybie i terminach określonych przepisami powszechnie obowiązującego prawa,</w:t>
      </w:r>
    </w:p>
    <w:p w14:paraId="3EA78CF9" w14:textId="0E8C3B8F" w:rsidR="002248F3" w:rsidRPr="002248F3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zapewnienie Klientom kompleksowej informacji dotyczącej realizowanych zadań i</w:t>
      </w:r>
      <w:r w:rsidR="00877067">
        <w:rPr>
          <w:sz w:val="22"/>
        </w:rPr>
        <w:t xml:space="preserve"> załatwianych przez Urząd spraw</w:t>
      </w:r>
      <w:r w:rsidRPr="002248F3">
        <w:rPr>
          <w:sz w:val="22"/>
        </w:rPr>
        <w:t>,</w:t>
      </w:r>
    </w:p>
    <w:p w14:paraId="3CD7EFD1" w14:textId="77777777" w:rsidR="002248F3" w:rsidRPr="002248F3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gromadzenie i wykorzystywanie wiedzy o potrzebach i oczekiwaniach Klientów do doskonalenia świadczonych usług,</w:t>
      </w:r>
    </w:p>
    <w:p w14:paraId="43180A14" w14:textId="77777777" w:rsidR="002248F3" w:rsidRPr="002248F3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stałe podnoszenie kwalifikacji i wiedzy wszystkich pracowników zatrudnionych w Urzędzie,</w:t>
      </w:r>
    </w:p>
    <w:p w14:paraId="0C47835A" w14:textId="77777777" w:rsidR="002248F3" w:rsidRPr="002248F3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podejmowanie działań zmierzających do promocji zatrudnienia, przeciwdziałania bezrobociu i jego negatywnym skutkom,</w:t>
      </w:r>
    </w:p>
    <w:p w14:paraId="2E86BE42" w14:textId="77777777" w:rsidR="002248F3" w:rsidRPr="002248F3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 xml:space="preserve">pozyskiwanie i gospodarowanie środkami finansowymi na promocję zatrudnienia oraz aktywizację lokalnego rynku pracy, </w:t>
      </w:r>
    </w:p>
    <w:p w14:paraId="023DA40D" w14:textId="77777777" w:rsidR="002248F3" w:rsidRPr="002248F3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organizowanie i finansowanie programów rynku pracy,</w:t>
      </w:r>
    </w:p>
    <w:p w14:paraId="3B343755" w14:textId="79BEF7CD" w:rsidR="009E222A" w:rsidRPr="00877067" w:rsidRDefault="002248F3" w:rsidP="002248F3">
      <w:pPr>
        <w:pStyle w:val="Akapitzlist"/>
        <w:numPr>
          <w:ilvl w:val="0"/>
          <w:numId w:val="1"/>
        </w:numPr>
        <w:spacing w:before="60" w:after="60" w:line="288" w:lineRule="auto"/>
        <w:jc w:val="both"/>
        <w:rPr>
          <w:sz w:val="22"/>
        </w:rPr>
      </w:pPr>
      <w:r w:rsidRPr="00877067">
        <w:rPr>
          <w:sz w:val="22"/>
        </w:rPr>
        <w:t>współpracę z partnerami społecznymi, organizacjami, instytucjami, jednostkami samorządu terytorialnego w zakresie promocji zatrudnienia.</w:t>
      </w:r>
    </w:p>
    <w:p w14:paraId="66036428" w14:textId="77777777" w:rsidR="009E222A" w:rsidRDefault="009E222A">
      <w:pPr>
        <w:spacing w:after="160" w:line="259" w:lineRule="auto"/>
        <w:rPr>
          <w:sz w:val="22"/>
        </w:rPr>
      </w:pPr>
      <w:r>
        <w:rPr>
          <w:sz w:val="22"/>
        </w:rPr>
        <w:br w:type="page"/>
      </w:r>
    </w:p>
    <w:p w14:paraId="5238072B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lastRenderedPageBreak/>
        <w:t>Przyjmując Politykę Jakości Urząd Pracy m.st. Warszawy wyznacza sobie następujące cele:</w:t>
      </w:r>
    </w:p>
    <w:p w14:paraId="4A77E598" w14:textId="77777777" w:rsidR="002248F3" w:rsidRPr="002248F3" w:rsidRDefault="002248F3" w:rsidP="002248F3">
      <w:pPr>
        <w:pStyle w:val="Akapitzlist"/>
        <w:numPr>
          <w:ilvl w:val="0"/>
          <w:numId w:val="2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osiągnięcie w ciągu 3 lat wskaźnika 99,5% spraw załatwionych terminowo,</w:t>
      </w:r>
    </w:p>
    <w:p w14:paraId="1ADA9B70" w14:textId="0D46D861" w:rsidR="002248F3" w:rsidRPr="005A341A" w:rsidRDefault="002248F3" w:rsidP="002248F3">
      <w:pPr>
        <w:pStyle w:val="Akapitzlist"/>
        <w:numPr>
          <w:ilvl w:val="0"/>
          <w:numId w:val="2"/>
        </w:numPr>
        <w:spacing w:before="60" w:after="60" w:line="288" w:lineRule="auto"/>
        <w:jc w:val="both"/>
        <w:rPr>
          <w:sz w:val="22"/>
        </w:rPr>
      </w:pPr>
      <w:r w:rsidRPr="005A341A">
        <w:rPr>
          <w:sz w:val="22"/>
        </w:rPr>
        <w:t>utrzymanie w ciągu 3 lat na co najmniej niezmienionym poziomie ilościowego wskaźnika realizacji kontaktów z przedsiębiorcami i pracodawcami (w tym za pośrednictw</w:t>
      </w:r>
      <w:r w:rsidR="005A341A">
        <w:rPr>
          <w:sz w:val="22"/>
        </w:rPr>
        <w:t>em narzędzi teleinformatycznych</w:t>
      </w:r>
      <w:r w:rsidRPr="005A341A">
        <w:rPr>
          <w:sz w:val="22"/>
        </w:rPr>
        <w:t>) w stosunku do roku 2022,</w:t>
      </w:r>
    </w:p>
    <w:p w14:paraId="7820AF70" w14:textId="04907197" w:rsidR="002248F3" w:rsidRPr="005A341A" w:rsidRDefault="002248F3" w:rsidP="002248F3">
      <w:pPr>
        <w:pStyle w:val="Akapitzlist"/>
        <w:numPr>
          <w:ilvl w:val="0"/>
          <w:numId w:val="2"/>
        </w:numPr>
        <w:spacing w:before="60" w:after="60" w:line="288" w:lineRule="auto"/>
        <w:jc w:val="both"/>
        <w:rPr>
          <w:sz w:val="22"/>
        </w:rPr>
      </w:pPr>
      <w:r w:rsidRPr="005A341A">
        <w:rPr>
          <w:sz w:val="22"/>
        </w:rPr>
        <w:t xml:space="preserve">utrzymanie w ciągu 3 lat na co najmniej niezmienionym poziomie liczby miejsc pracy pozostających </w:t>
      </w:r>
      <w:r w:rsidR="005A341A">
        <w:rPr>
          <w:sz w:val="22"/>
        </w:rPr>
        <w:t>w dyspozycji Urzędu</w:t>
      </w:r>
      <w:r w:rsidRPr="005A341A">
        <w:rPr>
          <w:sz w:val="22"/>
        </w:rPr>
        <w:t xml:space="preserve"> w stosunku do roku 2022,</w:t>
      </w:r>
    </w:p>
    <w:p w14:paraId="18F75D3E" w14:textId="77777777" w:rsidR="002248F3" w:rsidRPr="002248F3" w:rsidRDefault="002248F3" w:rsidP="002248F3">
      <w:pPr>
        <w:pStyle w:val="Akapitzlist"/>
        <w:numPr>
          <w:ilvl w:val="0"/>
          <w:numId w:val="2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utrzymanie w ciągu 3 lat na co najmniej niezmienionym poziomie efektywności wszystkich programów rynku pracy w stosunku do roku 2022,</w:t>
      </w:r>
    </w:p>
    <w:p w14:paraId="52F558CB" w14:textId="50BDE6F6" w:rsidR="002248F3" w:rsidRPr="005A341A" w:rsidRDefault="002248F3" w:rsidP="002248F3">
      <w:pPr>
        <w:pStyle w:val="Akapitzlist"/>
        <w:numPr>
          <w:ilvl w:val="0"/>
          <w:numId w:val="2"/>
        </w:numPr>
        <w:spacing w:before="60" w:after="60" w:line="288" w:lineRule="auto"/>
        <w:jc w:val="both"/>
        <w:rPr>
          <w:sz w:val="22"/>
        </w:rPr>
      </w:pPr>
      <w:r w:rsidRPr="005A341A">
        <w:rPr>
          <w:sz w:val="22"/>
        </w:rPr>
        <w:t xml:space="preserve">utrzymanie w ciągu 3 lat na co najmniej niezmienionym </w:t>
      </w:r>
      <w:r w:rsidR="00877067">
        <w:rPr>
          <w:sz w:val="22"/>
        </w:rPr>
        <w:t xml:space="preserve">poziomie </w:t>
      </w:r>
      <w:r w:rsidRPr="005A341A">
        <w:rPr>
          <w:sz w:val="22"/>
        </w:rPr>
        <w:t>uchylonych decyzji administracyjnych w stosunku do roku 2022,</w:t>
      </w:r>
    </w:p>
    <w:p w14:paraId="515A84AF" w14:textId="09FBD893" w:rsidR="002248F3" w:rsidRPr="005A341A" w:rsidRDefault="002248F3" w:rsidP="002248F3">
      <w:pPr>
        <w:pStyle w:val="Akapitzlist"/>
        <w:numPr>
          <w:ilvl w:val="0"/>
          <w:numId w:val="2"/>
        </w:numPr>
        <w:spacing w:before="60" w:after="60" w:line="288" w:lineRule="auto"/>
        <w:jc w:val="both"/>
        <w:rPr>
          <w:sz w:val="22"/>
        </w:rPr>
      </w:pPr>
      <w:r w:rsidRPr="005A341A">
        <w:rPr>
          <w:sz w:val="22"/>
        </w:rPr>
        <w:t>utrzymanie w ciągu 3 lat na co najmniej niezmienionym poziomie liczby uzasadnionych skarg w stosunku do roku 2022,</w:t>
      </w:r>
    </w:p>
    <w:p w14:paraId="73F40732" w14:textId="44DF74F8" w:rsidR="002248F3" w:rsidRPr="005A341A" w:rsidRDefault="002248F3" w:rsidP="002248F3">
      <w:pPr>
        <w:pStyle w:val="Akapitzlist"/>
        <w:numPr>
          <w:ilvl w:val="0"/>
          <w:numId w:val="2"/>
        </w:numPr>
        <w:spacing w:before="60" w:after="60" w:line="288" w:lineRule="auto"/>
        <w:jc w:val="both"/>
        <w:rPr>
          <w:sz w:val="22"/>
        </w:rPr>
      </w:pPr>
      <w:r w:rsidRPr="005A341A">
        <w:rPr>
          <w:sz w:val="22"/>
        </w:rPr>
        <w:t xml:space="preserve">utrzymanie w ciągu 3 lat na co najmniej niezmienionym poziomie liczby przeszkolonych pracowników </w:t>
      </w:r>
      <w:r w:rsidR="005A341A">
        <w:rPr>
          <w:sz w:val="22"/>
        </w:rPr>
        <w:t>w </w:t>
      </w:r>
      <w:r w:rsidRPr="005A341A">
        <w:rPr>
          <w:sz w:val="22"/>
        </w:rPr>
        <w:t>stosunku do roku 2022,</w:t>
      </w:r>
    </w:p>
    <w:p w14:paraId="73C4FBE0" w14:textId="77777777" w:rsidR="002248F3" w:rsidRPr="002248F3" w:rsidRDefault="002248F3" w:rsidP="002248F3">
      <w:pPr>
        <w:pStyle w:val="Akapitzlist"/>
        <w:numPr>
          <w:ilvl w:val="0"/>
          <w:numId w:val="2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utrzymanie w ciągu 3 lat na co najmniej niezmienionym poziomie liczby pracowników z wykształceniem wyższym do ogółu pracowników w stosunku do roku 2022.</w:t>
      </w:r>
    </w:p>
    <w:p w14:paraId="66FFC42C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</w:p>
    <w:p w14:paraId="7D15B94D" w14:textId="77777777" w:rsidR="002248F3" w:rsidRPr="002248F3" w:rsidRDefault="002248F3" w:rsidP="002248F3">
      <w:p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Analiza realizacji ustalonych celów jakościowych będzie nadzorowana dzięki stosowaniu następujących mierników:</w:t>
      </w:r>
    </w:p>
    <w:p w14:paraId="5E311243" w14:textId="2E356058" w:rsidR="002248F3" w:rsidRPr="005A341A" w:rsidRDefault="002248F3" w:rsidP="002248F3">
      <w:pPr>
        <w:pStyle w:val="Akapitzlist"/>
        <w:numPr>
          <w:ilvl w:val="0"/>
          <w:numId w:val="3"/>
        </w:numPr>
        <w:spacing w:before="60" w:after="60" w:line="288" w:lineRule="auto"/>
        <w:jc w:val="both"/>
        <w:rPr>
          <w:sz w:val="22"/>
        </w:rPr>
      </w:pPr>
      <w:r w:rsidRPr="005A341A">
        <w:rPr>
          <w:sz w:val="22"/>
        </w:rPr>
        <w:t>procentowego udziału spraw realizowanych nieterminowo w stosunku do wszystkich spraw załatwianych w Urzędzie Pracy m.st. Warszawy w ciągu roku,</w:t>
      </w:r>
    </w:p>
    <w:p w14:paraId="1B96852F" w14:textId="77777777" w:rsidR="002248F3" w:rsidRPr="002248F3" w:rsidRDefault="002248F3" w:rsidP="002248F3">
      <w:pPr>
        <w:pStyle w:val="Akapitzlist"/>
        <w:numPr>
          <w:ilvl w:val="0"/>
          <w:numId w:val="3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liczby zarejestrowanych w systemie informatycznym spotkań z pracodawcami w ciągu roku,</w:t>
      </w:r>
    </w:p>
    <w:p w14:paraId="788024AD" w14:textId="77777777" w:rsidR="002248F3" w:rsidRPr="002248F3" w:rsidRDefault="002248F3" w:rsidP="002248F3">
      <w:pPr>
        <w:pStyle w:val="Akapitzlist"/>
        <w:numPr>
          <w:ilvl w:val="0"/>
          <w:numId w:val="3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liczby miejsc pracy pozostających w dyspozycji Urzędu Pracy m.st. Warszawy,</w:t>
      </w:r>
    </w:p>
    <w:p w14:paraId="670C016C" w14:textId="77777777" w:rsidR="002248F3" w:rsidRPr="002248F3" w:rsidRDefault="002248F3" w:rsidP="002248F3">
      <w:pPr>
        <w:pStyle w:val="Akapitzlist"/>
        <w:numPr>
          <w:ilvl w:val="0"/>
          <w:numId w:val="3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liczby osób bezrobotnych i poszukujących pracy zatrudnionych w wyniku realizacji programów rynku pracy (wskaźniki efektywności) do ogólnej liczby biorących udział w poszczególnych programach,</w:t>
      </w:r>
    </w:p>
    <w:p w14:paraId="529F80BF" w14:textId="77777777" w:rsidR="002248F3" w:rsidRPr="002248F3" w:rsidRDefault="002248F3" w:rsidP="002248F3">
      <w:pPr>
        <w:pStyle w:val="Akapitzlist"/>
        <w:numPr>
          <w:ilvl w:val="0"/>
          <w:numId w:val="3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procent uchylonych decyzji administracyjnych w stosunku do ogólnej liczby wydanych decyzji w ciągu roku,</w:t>
      </w:r>
    </w:p>
    <w:p w14:paraId="4C1B0A89" w14:textId="77777777" w:rsidR="002248F3" w:rsidRPr="002248F3" w:rsidRDefault="002248F3" w:rsidP="002248F3">
      <w:pPr>
        <w:pStyle w:val="Akapitzlist"/>
        <w:numPr>
          <w:ilvl w:val="0"/>
          <w:numId w:val="3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liczby uzasadnionych skarg w stosunku do ich ogólnej liczby w ciągu roku (w procentach),</w:t>
      </w:r>
    </w:p>
    <w:p w14:paraId="446FF9DE" w14:textId="77777777" w:rsidR="002248F3" w:rsidRPr="002248F3" w:rsidRDefault="002248F3" w:rsidP="002248F3">
      <w:pPr>
        <w:pStyle w:val="Akapitzlist"/>
        <w:numPr>
          <w:ilvl w:val="0"/>
          <w:numId w:val="3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liczby przeszkolonych w roku pracowników,</w:t>
      </w:r>
    </w:p>
    <w:p w14:paraId="16D19A29" w14:textId="77777777" w:rsidR="002248F3" w:rsidRDefault="002248F3" w:rsidP="002248F3">
      <w:pPr>
        <w:pStyle w:val="Akapitzlist"/>
        <w:numPr>
          <w:ilvl w:val="0"/>
          <w:numId w:val="3"/>
        </w:numPr>
        <w:spacing w:before="60" w:after="60" w:line="288" w:lineRule="auto"/>
        <w:jc w:val="both"/>
        <w:rPr>
          <w:sz w:val="22"/>
        </w:rPr>
      </w:pPr>
      <w:r w:rsidRPr="002248F3">
        <w:rPr>
          <w:sz w:val="22"/>
        </w:rPr>
        <w:t>liczby pracowników z wykształceniem wyższym do liczby pracowników ogółem.</w:t>
      </w:r>
    </w:p>
    <w:p w14:paraId="61180D4B" w14:textId="77777777" w:rsidR="00157E47" w:rsidRDefault="00157E47" w:rsidP="00157E47">
      <w:pPr>
        <w:spacing w:before="60" w:after="60" w:line="288" w:lineRule="auto"/>
        <w:jc w:val="both"/>
        <w:rPr>
          <w:sz w:val="22"/>
        </w:rPr>
      </w:pPr>
    </w:p>
    <w:p w14:paraId="57F63FD6" w14:textId="77777777" w:rsidR="00157E47" w:rsidRDefault="00157E47" w:rsidP="00157E47">
      <w:pPr>
        <w:spacing w:before="60" w:after="60" w:line="288" w:lineRule="auto"/>
        <w:jc w:val="both"/>
        <w:rPr>
          <w:sz w:val="22"/>
        </w:rPr>
      </w:pPr>
    </w:p>
    <w:p w14:paraId="40F66C3D" w14:textId="39DF4139" w:rsidR="00157E47" w:rsidRDefault="00157E47" w:rsidP="00157E47">
      <w:pPr>
        <w:spacing w:before="60" w:after="60" w:line="288" w:lineRule="auto"/>
        <w:ind w:left="6381" w:firstLine="709"/>
        <w:jc w:val="both"/>
        <w:rPr>
          <w:sz w:val="22"/>
        </w:rPr>
      </w:pPr>
      <w:r>
        <w:rPr>
          <w:sz w:val="22"/>
        </w:rPr>
        <w:t xml:space="preserve">  </w:t>
      </w:r>
      <w:bookmarkStart w:id="0" w:name="_GoBack"/>
      <w:bookmarkEnd w:id="0"/>
      <w:r>
        <w:rPr>
          <w:sz w:val="22"/>
        </w:rPr>
        <w:t xml:space="preserve">Dyrektor </w:t>
      </w:r>
    </w:p>
    <w:p w14:paraId="5F7556EA" w14:textId="48A33906" w:rsidR="00157E47" w:rsidRDefault="00157E47" w:rsidP="00157E47">
      <w:pPr>
        <w:spacing w:before="60" w:after="60" w:line="288" w:lineRule="auto"/>
        <w:ind w:left="5672" w:firstLine="709"/>
        <w:jc w:val="both"/>
        <w:rPr>
          <w:sz w:val="22"/>
        </w:rPr>
      </w:pPr>
      <w:r>
        <w:rPr>
          <w:sz w:val="22"/>
        </w:rPr>
        <w:t>Urzędu Pracy m.st. Warszawy</w:t>
      </w:r>
    </w:p>
    <w:p w14:paraId="0C3BB64C" w14:textId="77777777" w:rsidR="00157E47" w:rsidRDefault="00157E47" w:rsidP="00157E47">
      <w:pPr>
        <w:spacing w:before="60" w:after="60" w:line="288" w:lineRule="auto"/>
        <w:jc w:val="both"/>
        <w:rPr>
          <w:sz w:val="22"/>
        </w:rPr>
      </w:pPr>
    </w:p>
    <w:p w14:paraId="69CD4AF6" w14:textId="77777777" w:rsidR="00157E47" w:rsidRDefault="00157E47" w:rsidP="00157E47">
      <w:pPr>
        <w:spacing w:before="60" w:after="60" w:line="288" w:lineRule="auto"/>
        <w:jc w:val="both"/>
        <w:rPr>
          <w:sz w:val="22"/>
        </w:rPr>
      </w:pPr>
    </w:p>
    <w:p w14:paraId="5CB790AC" w14:textId="03C1B8E8" w:rsidR="00157E47" w:rsidRPr="00157E47" w:rsidRDefault="00157E47" w:rsidP="00157E47">
      <w:pPr>
        <w:spacing w:before="60" w:after="60" w:line="288" w:lineRule="auto"/>
        <w:ind w:left="5672" w:firstLine="709"/>
        <w:jc w:val="both"/>
        <w:rPr>
          <w:sz w:val="22"/>
        </w:rPr>
      </w:pPr>
      <w:r>
        <w:rPr>
          <w:sz w:val="22"/>
        </w:rPr>
        <w:t xml:space="preserve">         Monika Fedorczuk</w:t>
      </w:r>
    </w:p>
    <w:sectPr w:rsidR="00157E47" w:rsidRPr="00157E47" w:rsidSect="002248F3">
      <w:footerReference w:type="default" r:id="rId8"/>
      <w:headerReference w:type="first" r:id="rId9"/>
      <w:footerReference w:type="first" r:id="rId10"/>
      <w:pgSz w:w="11906" w:h="16838"/>
      <w:pgMar w:top="851" w:right="1134" w:bottom="851" w:left="1134" w:header="127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C8C4D" w14:textId="77777777" w:rsidR="0008057F" w:rsidRDefault="0008057F" w:rsidP="003B433A">
      <w:pPr>
        <w:spacing w:line="240" w:lineRule="auto"/>
      </w:pPr>
      <w:r>
        <w:separator/>
      </w:r>
    </w:p>
  </w:endnote>
  <w:endnote w:type="continuationSeparator" w:id="0">
    <w:p w14:paraId="67DCCEB3" w14:textId="77777777" w:rsidR="0008057F" w:rsidRDefault="0008057F" w:rsidP="003B4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2120"/>
    </w:tblGrid>
    <w:tr w:rsidR="002248F3" w14:paraId="68433FC9" w14:textId="77777777" w:rsidTr="002248F3">
      <w:tc>
        <w:tcPr>
          <w:tcW w:w="7508" w:type="dxa"/>
        </w:tcPr>
        <w:p w14:paraId="5530E34D" w14:textId="77777777" w:rsidR="002248F3" w:rsidRDefault="002248F3" w:rsidP="002248F3">
          <w:pPr>
            <w:pStyle w:val="Stopka"/>
          </w:pPr>
        </w:p>
      </w:tc>
      <w:tc>
        <w:tcPr>
          <w:tcW w:w="2120" w:type="dxa"/>
        </w:tcPr>
        <w:sdt>
          <w:sdtPr>
            <w:rPr>
              <w:sz w:val="20"/>
              <w:szCs w:val="20"/>
            </w:rPr>
            <w:id w:val="-1119446299"/>
            <w:docPartObj>
              <w:docPartGallery w:val="Page Numbers (Top of Page)"/>
              <w:docPartUnique/>
            </w:docPartObj>
          </w:sdtPr>
          <w:sdtEndPr>
            <w:rPr>
              <w:sz w:val="24"/>
              <w:szCs w:val="22"/>
            </w:rPr>
          </w:sdtEndPr>
          <w:sdtContent>
            <w:p w14:paraId="4F8CD138" w14:textId="77777777" w:rsidR="002248F3" w:rsidRDefault="002248F3" w:rsidP="002248F3">
              <w:pPr>
                <w:pStyle w:val="Nagwek"/>
                <w:jc w:val="right"/>
              </w:pPr>
              <w:r w:rsidRPr="002248F3">
                <w:rPr>
                  <w:sz w:val="20"/>
                  <w:szCs w:val="20"/>
                </w:rPr>
                <w:t xml:space="preserve">Strona </w:t>
              </w:r>
              <w:r w:rsidRPr="002248F3">
                <w:rPr>
                  <w:bCs/>
                  <w:sz w:val="20"/>
                  <w:szCs w:val="20"/>
                </w:rPr>
                <w:fldChar w:fldCharType="begin"/>
              </w:r>
              <w:r w:rsidRPr="002248F3">
                <w:rPr>
                  <w:bCs/>
                  <w:sz w:val="20"/>
                  <w:szCs w:val="20"/>
                </w:rPr>
                <w:instrText>PAGE</w:instrText>
              </w:r>
              <w:r w:rsidRPr="002248F3">
                <w:rPr>
                  <w:bCs/>
                  <w:sz w:val="20"/>
                  <w:szCs w:val="20"/>
                </w:rPr>
                <w:fldChar w:fldCharType="separate"/>
              </w:r>
              <w:r w:rsidR="00157E47">
                <w:rPr>
                  <w:bCs/>
                  <w:noProof/>
                  <w:sz w:val="20"/>
                  <w:szCs w:val="20"/>
                </w:rPr>
                <w:t>2</w:t>
              </w:r>
              <w:r w:rsidRPr="002248F3">
                <w:rPr>
                  <w:bCs/>
                  <w:sz w:val="20"/>
                  <w:szCs w:val="20"/>
                </w:rPr>
                <w:fldChar w:fldCharType="end"/>
              </w:r>
              <w:r w:rsidRPr="002248F3">
                <w:rPr>
                  <w:sz w:val="20"/>
                  <w:szCs w:val="20"/>
                </w:rPr>
                <w:t xml:space="preserve"> z </w:t>
              </w:r>
              <w:r w:rsidRPr="002248F3">
                <w:rPr>
                  <w:bCs/>
                  <w:sz w:val="20"/>
                  <w:szCs w:val="20"/>
                </w:rPr>
                <w:fldChar w:fldCharType="begin"/>
              </w:r>
              <w:r w:rsidRPr="002248F3">
                <w:rPr>
                  <w:bCs/>
                  <w:sz w:val="20"/>
                  <w:szCs w:val="20"/>
                </w:rPr>
                <w:instrText>NUMPAGES</w:instrText>
              </w:r>
              <w:r w:rsidRPr="002248F3">
                <w:rPr>
                  <w:bCs/>
                  <w:sz w:val="20"/>
                  <w:szCs w:val="20"/>
                </w:rPr>
                <w:fldChar w:fldCharType="separate"/>
              </w:r>
              <w:r w:rsidR="00157E47">
                <w:rPr>
                  <w:bCs/>
                  <w:noProof/>
                  <w:sz w:val="20"/>
                  <w:szCs w:val="20"/>
                </w:rPr>
                <w:t>2</w:t>
              </w:r>
              <w:r w:rsidRPr="002248F3">
                <w:rPr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76F2F82E" w14:textId="77777777" w:rsidR="002248F3" w:rsidRDefault="002248F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2120"/>
    </w:tblGrid>
    <w:tr w:rsidR="002248F3" w14:paraId="3B3E3ACE" w14:textId="77777777" w:rsidTr="00FC7E07">
      <w:tc>
        <w:tcPr>
          <w:tcW w:w="7508" w:type="dxa"/>
          <w:tcBorders>
            <w:top w:val="single" w:sz="4" w:space="0" w:color="auto"/>
            <w:left w:val="nil"/>
          </w:tcBorders>
        </w:tcPr>
        <w:p w14:paraId="0CDA6F64" w14:textId="77777777" w:rsidR="002248F3" w:rsidRDefault="002248F3">
          <w:pPr>
            <w:pStyle w:val="Stopka"/>
          </w:pPr>
        </w:p>
      </w:tc>
      <w:tc>
        <w:tcPr>
          <w:tcW w:w="2120" w:type="dxa"/>
        </w:tcPr>
        <w:sdt>
          <w:sdtPr>
            <w:rPr>
              <w:sz w:val="20"/>
              <w:szCs w:val="20"/>
            </w:rPr>
            <w:id w:val="-1318336367"/>
            <w:docPartObj>
              <w:docPartGallery w:val="Page Numbers (Top of Page)"/>
              <w:docPartUnique/>
            </w:docPartObj>
          </w:sdtPr>
          <w:sdtEndPr>
            <w:rPr>
              <w:sz w:val="24"/>
              <w:szCs w:val="22"/>
            </w:rPr>
          </w:sdtEndPr>
          <w:sdtContent>
            <w:p w14:paraId="32EFF95D" w14:textId="77777777" w:rsidR="002248F3" w:rsidRDefault="002248F3" w:rsidP="002248F3">
              <w:pPr>
                <w:pStyle w:val="Nagwek"/>
                <w:jc w:val="right"/>
              </w:pPr>
              <w:r w:rsidRPr="002248F3">
                <w:rPr>
                  <w:sz w:val="20"/>
                  <w:szCs w:val="20"/>
                </w:rPr>
                <w:t xml:space="preserve">Strona </w:t>
              </w:r>
              <w:r w:rsidRPr="002248F3">
                <w:rPr>
                  <w:bCs/>
                  <w:sz w:val="20"/>
                  <w:szCs w:val="20"/>
                </w:rPr>
                <w:fldChar w:fldCharType="begin"/>
              </w:r>
              <w:r w:rsidRPr="002248F3">
                <w:rPr>
                  <w:bCs/>
                  <w:sz w:val="20"/>
                  <w:szCs w:val="20"/>
                </w:rPr>
                <w:instrText>PAGE</w:instrText>
              </w:r>
              <w:r w:rsidRPr="002248F3">
                <w:rPr>
                  <w:bCs/>
                  <w:sz w:val="20"/>
                  <w:szCs w:val="20"/>
                </w:rPr>
                <w:fldChar w:fldCharType="separate"/>
              </w:r>
              <w:r w:rsidR="00157E47">
                <w:rPr>
                  <w:bCs/>
                  <w:noProof/>
                  <w:sz w:val="20"/>
                  <w:szCs w:val="20"/>
                </w:rPr>
                <w:t>1</w:t>
              </w:r>
              <w:r w:rsidRPr="002248F3">
                <w:rPr>
                  <w:bCs/>
                  <w:sz w:val="20"/>
                  <w:szCs w:val="20"/>
                </w:rPr>
                <w:fldChar w:fldCharType="end"/>
              </w:r>
              <w:r w:rsidRPr="002248F3">
                <w:rPr>
                  <w:sz w:val="20"/>
                  <w:szCs w:val="20"/>
                </w:rPr>
                <w:t xml:space="preserve"> z </w:t>
              </w:r>
              <w:r w:rsidRPr="002248F3">
                <w:rPr>
                  <w:bCs/>
                  <w:sz w:val="20"/>
                  <w:szCs w:val="20"/>
                </w:rPr>
                <w:fldChar w:fldCharType="begin"/>
              </w:r>
              <w:r w:rsidRPr="002248F3">
                <w:rPr>
                  <w:bCs/>
                  <w:sz w:val="20"/>
                  <w:szCs w:val="20"/>
                </w:rPr>
                <w:instrText>NUMPAGES</w:instrText>
              </w:r>
              <w:r w:rsidRPr="002248F3">
                <w:rPr>
                  <w:bCs/>
                  <w:sz w:val="20"/>
                  <w:szCs w:val="20"/>
                </w:rPr>
                <w:fldChar w:fldCharType="separate"/>
              </w:r>
              <w:r w:rsidR="00157E47">
                <w:rPr>
                  <w:bCs/>
                  <w:noProof/>
                  <w:sz w:val="20"/>
                  <w:szCs w:val="20"/>
                </w:rPr>
                <w:t>2</w:t>
              </w:r>
              <w:r w:rsidRPr="002248F3">
                <w:rPr>
                  <w:bCs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D62B864" w14:textId="77777777" w:rsidR="002248F3" w:rsidRDefault="002248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D8B3E" w14:textId="77777777" w:rsidR="0008057F" w:rsidRDefault="0008057F" w:rsidP="003B433A">
      <w:pPr>
        <w:spacing w:line="240" w:lineRule="auto"/>
      </w:pPr>
      <w:r>
        <w:separator/>
      </w:r>
    </w:p>
  </w:footnote>
  <w:footnote w:type="continuationSeparator" w:id="0">
    <w:p w14:paraId="4BC8822C" w14:textId="77777777" w:rsidR="0008057F" w:rsidRDefault="0008057F" w:rsidP="003B4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6"/>
      <w:gridCol w:w="5522"/>
    </w:tblGrid>
    <w:tr w:rsidR="00FC7E07" w14:paraId="460D52CA" w14:textId="77777777" w:rsidTr="00FC7E07">
      <w:tc>
        <w:tcPr>
          <w:tcW w:w="4106" w:type="dxa"/>
        </w:tcPr>
        <w:p w14:paraId="2FF0F348" w14:textId="77777777" w:rsidR="00FC7E07" w:rsidRDefault="00FC7E07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B4CE781" wp14:editId="305A1AE7">
                <wp:extent cx="2307771" cy="726393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so2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7771" cy="7263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2" w:type="dxa"/>
          <w:vAlign w:val="center"/>
        </w:tcPr>
        <w:p w14:paraId="49B1D38B" w14:textId="77777777" w:rsidR="00FC7E07" w:rsidRPr="00FC7E07" w:rsidRDefault="00FC7E07" w:rsidP="00FC7E07">
          <w:pPr>
            <w:pStyle w:val="Nagwek"/>
            <w:jc w:val="center"/>
            <w:rPr>
              <w:b/>
              <w:sz w:val="36"/>
              <w:szCs w:val="36"/>
            </w:rPr>
          </w:pPr>
          <w:r w:rsidRPr="00FC7E07">
            <w:rPr>
              <w:b/>
              <w:sz w:val="36"/>
              <w:szCs w:val="36"/>
            </w:rPr>
            <w:t>POLITYKA JAKOŚCI</w:t>
          </w:r>
        </w:p>
      </w:tc>
    </w:tr>
  </w:tbl>
  <w:p w14:paraId="082DDA51" w14:textId="77777777" w:rsidR="002248F3" w:rsidRDefault="002248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95D8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02E3C66"/>
    <w:multiLevelType w:val="hybridMultilevel"/>
    <w:tmpl w:val="BE927CFE"/>
    <w:lvl w:ilvl="0" w:tplc="0644D0D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9182C"/>
    <w:multiLevelType w:val="hybridMultilevel"/>
    <w:tmpl w:val="F88A5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47A6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3BF74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33A"/>
    <w:rsid w:val="0008057F"/>
    <w:rsid w:val="00157E47"/>
    <w:rsid w:val="002248F3"/>
    <w:rsid w:val="003B433A"/>
    <w:rsid w:val="005A341A"/>
    <w:rsid w:val="005C404F"/>
    <w:rsid w:val="006403CD"/>
    <w:rsid w:val="006A4487"/>
    <w:rsid w:val="00877067"/>
    <w:rsid w:val="009E222A"/>
    <w:rsid w:val="00C91C5D"/>
    <w:rsid w:val="00CC445C"/>
    <w:rsid w:val="00DB3AB2"/>
    <w:rsid w:val="00F91909"/>
    <w:rsid w:val="00FC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F3D73"/>
  <w15:chartTrackingRefBased/>
  <w15:docId w15:val="{70DD6D36-1E34-431C-8F43-769A365F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AB2"/>
    <w:pPr>
      <w:spacing w:after="0" w:line="360" w:lineRule="auto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43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33A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3B433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33A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2248F3"/>
    <w:pPr>
      <w:ind w:left="720"/>
      <w:contextualSpacing/>
    </w:pPr>
  </w:style>
  <w:style w:type="table" w:styleId="Tabela-Siatka">
    <w:name w:val="Table Grid"/>
    <w:basedOn w:val="Standardowy"/>
    <w:uiPriority w:val="39"/>
    <w:rsid w:val="00224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403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16BC3-63E7-4B59-93DA-3B7BC056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Ceranowicz</dc:creator>
  <cp:keywords/>
  <dc:description/>
  <cp:lastModifiedBy>Urszula Murawska</cp:lastModifiedBy>
  <cp:revision>11</cp:revision>
  <cp:lastPrinted>2023-05-18T10:43:00Z</cp:lastPrinted>
  <dcterms:created xsi:type="dcterms:W3CDTF">2023-05-08T09:03:00Z</dcterms:created>
  <dcterms:modified xsi:type="dcterms:W3CDTF">2023-05-22T10:44:00Z</dcterms:modified>
</cp:coreProperties>
</file>